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814"/>
        <w:gridCol w:w="653"/>
        <w:gridCol w:w="651"/>
        <w:gridCol w:w="528"/>
        <w:gridCol w:w="735"/>
        <w:gridCol w:w="561"/>
        <w:gridCol w:w="512"/>
        <w:gridCol w:w="549"/>
        <w:gridCol w:w="488"/>
        <w:gridCol w:w="548"/>
        <w:gridCol w:w="487"/>
        <w:gridCol w:w="547"/>
        <w:gridCol w:w="486"/>
        <w:gridCol w:w="545"/>
        <w:gridCol w:w="485"/>
        <w:gridCol w:w="545"/>
        <w:gridCol w:w="484"/>
      </w:tblGrid>
      <w:tr w:rsidR="00A33513">
        <w:trPr>
          <w:trHeight w:val="1020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A2282A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3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rPr>
          <w:trHeight w:val="225"/>
        </w:trPr>
        <w:tc>
          <w:tcPr>
            <w:tcW w:w="4174" w:type="dxa"/>
            <w:gridSpan w:val="6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rPr>
          <w:trHeight w:val="345"/>
        </w:trPr>
        <w:tc>
          <w:tcPr>
            <w:tcW w:w="5290" w:type="dxa"/>
            <w:gridSpan w:val="8"/>
            <w:shd w:val="clear" w:color="FFFFFF" w:fill="auto"/>
            <w:vAlign w:val="bottom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rPr>
          <w:trHeight w:val="345"/>
        </w:trPr>
        <w:tc>
          <w:tcPr>
            <w:tcW w:w="5290" w:type="dxa"/>
            <w:gridSpan w:val="8"/>
            <w:shd w:val="clear" w:color="FFFFFF" w:fill="auto"/>
            <w:vAlign w:val="bottom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rPr>
          <w:trHeight w:val="345"/>
        </w:trPr>
        <w:tc>
          <w:tcPr>
            <w:tcW w:w="5290" w:type="dxa"/>
            <w:gridSpan w:val="8"/>
            <w:shd w:val="clear" w:color="FFFFFF" w:fill="auto"/>
            <w:vAlign w:val="bottom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rPr>
          <w:trHeight w:val="345"/>
        </w:trPr>
        <w:tc>
          <w:tcPr>
            <w:tcW w:w="5290" w:type="dxa"/>
            <w:gridSpan w:val="8"/>
            <w:shd w:val="clear" w:color="FFFFFF" w:fill="auto"/>
            <w:vAlign w:val="bottom"/>
          </w:tcPr>
          <w:p w:rsidR="00B47FDB" w:rsidRDefault="00B72BB2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c>
          <w:tcPr>
            <w:tcW w:w="591" w:type="dxa"/>
            <w:shd w:val="clear" w:color="FFFFFF" w:fill="auto"/>
            <w:vAlign w:val="center"/>
          </w:tcPr>
          <w:p w:rsidR="00B47FDB" w:rsidRDefault="00B47FDB">
            <w:pPr>
              <w:jc w:val="right"/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B47FDB" w:rsidRDefault="00B47FDB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center"/>
          </w:tcPr>
          <w:p w:rsidR="00B47FDB" w:rsidRDefault="00B47FDB">
            <w:pPr>
              <w:jc w:val="right"/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B47FDB" w:rsidRDefault="00B47FDB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rPr>
          <w:trHeight w:val="345"/>
        </w:trPr>
        <w:tc>
          <w:tcPr>
            <w:tcW w:w="591" w:type="dxa"/>
            <w:shd w:val="clear" w:color="FFFFFF" w:fill="auto"/>
            <w:vAlign w:val="center"/>
          </w:tcPr>
          <w:p w:rsidR="00B47FDB" w:rsidRDefault="00B72BB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2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761" w:type="dxa"/>
            <w:shd w:val="clear" w:color="FFFFFF" w:fill="auto"/>
            <w:vAlign w:val="center"/>
          </w:tcPr>
          <w:p w:rsidR="00B47FDB" w:rsidRDefault="00B72BB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47FDB" w:rsidRPr="002B72CD" w:rsidRDefault="002B7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135-РК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rPr>
          <w:trHeight w:val="22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c>
          <w:tcPr>
            <w:tcW w:w="6406" w:type="dxa"/>
            <w:gridSpan w:val="10"/>
            <w:shd w:val="clear" w:color="FFFFFF" w:fill="auto"/>
            <w:vAlign w:val="bottom"/>
          </w:tcPr>
          <w:p w:rsidR="00B47FDB" w:rsidRDefault="00B72BB2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 общества с ограниченной ответственностью «Ниоба» на 2017 год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rPr>
          <w:trHeight w:val="300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  <w:p w:rsidR="00B72BB2" w:rsidRDefault="00B72BB2"/>
          <w:p w:rsidR="00B72BB2" w:rsidRDefault="00B72BB2"/>
          <w:p w:rsidR="00B72BB2" w:rsidRDefault="00B72BB2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c>
          <w:tcPr>
            <w:tcW w:w="10870" w:type="dxa"/>
            <w:gridSpan w:val="18"/>
            <w:shd w:val="clear" w:color="FFFFFF" w:fill="auto"/>
          </w:tcPr>
          <w:p w:rsidR="00B47FDB" w:rsidRDefault="00B72BB2" w:rsidP="00A2282A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A2282A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2B72CD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№ 1080-э, приказа ФАС России от 04.07.2016 № 888/16), приказом Федеральной службы 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 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12.12.2016 </w:t>
            </w:r>
            <w:r w:rsidRPr="00A3351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B47FDB">
        <w:trPr>
          <w:trHeight w:val="945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B47FDB" w:rsidRDefault="00B72BB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Установить для общества с ограниченной ответственностью «Ниоба», применяющего упрощенную систему налогообложения, одноставочные тарифы на тепловую энергию (мощность) согласно  </w:t>
            </w:r>
            <w:r w:rsidR="00A33513">
              <w:rPr>
                <w:rFonts w:ascii="Times New Roman" w:hAnsi="Times New Roman"/>
                <w:sz w:val="26"/>
                <w:szCs w:val="26"/>
              </w:rPr>
              <w:t xml:space="preserve">приложению </w:t>
            </w:r>
            <w:r>
              <w:rPr>
                <w:rFonts w:ascii="Times New Roman" w:hAnsi="Times New Roman"/>
                <w:sz w:val="26"/>
                <w:szCs w:val="26"/>
              </w:rPr>
              <w:t>к настоящему приказу.</w:t>
            </w:r>
          </w:p>
        </w:tc>
      </w:tr>
      <w:tr w:rsidR="00B47FDB">
        <w:tc>
          <w:tcPr>
            <w:tcW w:w="10870" w:type="dxa"/>
            <w:gridSpan w:val="18"/>
            <w:shd w:val="clear" w:color="FFFFFF" w:fill="auto"/>
          </w:tcPr>
          <w:p w:rsidR="00B47FDB" w:rsidRDefault="00B72BB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Тарифы, установленные в пункте 1 настоящего приказа, действуют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с 1 января 2017 года по 31 декабря 2017 года с календарной разбивкой.</w:t>
            </w:r>
          </w:p>
        </w:tc>
      </w:tr>
      <w:tr w:rsidR="00B47FDB">
        <w:tc>
          <w:tcPr>
            <w:tcW w:w="10870" w:type="dxa"/>
            <w:gridSpan w:val="18"/>
            <w:shd w:val="clear" w:color="FFFFFF" w:fill="auto"/>
          </w:tcPr>
          <w:p w:rsidR="00B72BB2" w:rsidRDefault="00B72B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72BB2" w:rsidRDefault="00B72B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7FDB" w:rsidRDefault="00B72BB2" w:rsidP="00B72BB2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 Настоящий приказ вступает в силу с 1 января 2017 года.</w:t>
            </w:r>
          </w:p>
        </w:tc>
      </w:tr>
      <w:tr w:rsidR="00A33513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A33513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rPr>
          <w:trHeight w:val="345"/>
        </w:trPr>
        <w:tc>
          <w:tcPr>
            <w:tcW w:w="4174" w:type="dxa"/>
            <w:gridSpan w:val="6"/>
            <w:shd w:val="clear" w:color="FFFFFF" w:fill="auto"/>
            <w:vAlign w:val="bottom"/>
          </w:tcPr>
          <w:p w:rsidR="00B47FDB" w:rsidRDefault="00B72BB2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B47FDB" w:rsidRDefault="00B72BB2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47FDB" w:rsidRDefault="00B72BB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882"/>
        <w:gridCol w:w="696"/>
        <w:gridCol w:w="677"/>
        <w:gridCol w:w="482"/>
        <w:gridCol w:w="600"/>
        <w:gridCol w:w="498"/>
        <w:gridCol w:w="480"/>
        <w:gridCol w:w="503"/>
        <w:gridCol w:w="432"/>
        <w:gridCol w:w="504"/>
        <w:gridCol w:w="431"/>
        <w:gridCol w:w="505"/>
        <w:gridCol w:w="430"/>
        <w:gridCol w:w="516"/>
        <w:gridCol w:w="434"/>
        <w:gridCol w:w="771"/>
        <w:gridCol w:w="685"/>
      </w:tblGrid>
      <w:tr w:rsidR="00B47FDB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B47FDB" w:rsidRDefault="00B72BB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47FDB"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B47FDB" w:rsidRDefault="00B72BB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B47FDB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B47FDB" w:rsidRDefault="00B72BB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2B72CD">
              <w:rPr>
                <w:rFonts w:ascii="Times New Roman" w:hAnsi="Times New Roman"/>
                <w:sz w:val="26"/>
                <w:szCs w:val="26"/>
              </w:rPr>
              <w:t xml:space="preserve"> 135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47FDB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86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696" w:type="dxa"/>
            <w:shd w:val="clear" w:color="FFFFFF" w:fill="auto"/>
            <w:vAlign w:val="bottom"/>
          </w:tcPr>
          <w:p w:rsidR="00B47FDB" w:rsidRDefault="00B47FDB"/>
        </w:tc>
        <w:tc>
          <w:tcPr>
            <w:tcW w:w="564" w:type="dxa"/>
            <w:shd w:val="clear" w:color="FFFFFF" w:fill="auto"/>
            <w:vAlign w:val="bottom"/>
          </w:tcPr>
          <w:p w:rsidR="00B47FDB" w:rsidRDefault="00B47FDB"/>
        </w:tc>
        <w:tc>
          <w:tcPr>
            <w:tcW w:w="76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rPr>
          <w:trHeight w:val="345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B47FDB">
        <w:trPr>
          <w:trHeight w:val="210"/>
        </w:trPr>
        <w:tc>
          <w:tcPr>
            <w:tcW w:w="8638" w:type="dxa"/>
            <w:gridSpan w:val="14"/>
            <w:shd w:val="clear" w:color="FFFFFF" w:fill="auto"/>
            <w:vAlign w:val="bottom"/>
          </w:tcPr>
          <w:p w:rsidR="00B47FDB" w:rsidRDefault="00B47FDB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  <w:tc>
          <w:tcPr>
            <w:tcW w:w="591" w:type="dxa"/>
            <w:shd w:val="clear" w:color="FFFFFF" w:fill="auto"/>
            <w:vAlign w:val="bottom"/>
          </w:tcPr>
          <w:p w:rsidR="00B47FDB" w:rsidRDefault="00B47FDB"/>
        </w:tc>
        <w:tc>
          <w:tcPr>
            <w:tcW w:w="525" w:type="dxa"/>
            <w:shd w:val="clear" w:color="FFFFFF" w:fill="auto"/>
            <w:vAlign w:val="bottom"/>
          </w:tcPr>
          <w:p w:rsidR="00B47FDB" w:rsidRDefault="00B47FDB"/>
        </w:tc>
      </w:tr>
      <w:tr w:rsidR="00B47FDB">
        <w:trPr>
          <w:trHeight w:val="255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446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B47FDB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3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B47FDB">
        <w:trPr>
          <w:trHeight w:val="495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«Ниоба»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1837,83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7FDB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«Ниоба»</w:t>
            </w: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1874,47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7FDB">
        <w:trPr>
          <w:trHeight w:val="25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«Ниоба»</w:t>
            </w:r>
          </w:p>
        </w:tc>
        <w:tc>
          <w:tcPr>
            <w:tcW w:w="941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B47FDB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«Ниоба»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1837,83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7FDB">
        <w:trPr>
          <w:trHeight w:val="495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«Ниоба»</w:t>
            </w:r>
          </w:p>
        </w:tc>
        <w:tc>
          <w:tcPr>
            <w:tcW w:w="139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1874,47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FDB" w:rsidRDefault="00B72BB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7FDB">
        <w:trPr>
          <w:trHeight w:val="345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B47FDB" w:rsidRDefault="00B72BB2"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B47FDB">
        <w:trPr>
          <w:trHeight w:val="645"/>
        </w:trPr>
        <w:tc>
          <w:tcPr>
            <w:tcW w:w="10870" w:type="dxa"/>
            <w:gridSpan w:val="18"/>
            <w:shd w:val="clear" w:color="FFFFFF" w:fill="auto"/>
          </w:tcPr>
          <w:p w:rsidR="00B47FDB" w:rsidRDefault="00B72BB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 общества с ограниченной ответственностью «Ниоба» составляет:</w:t>
            </w:r>
          </w:p>
        </w:tc>
      </w:tr>
      <w:tr w:rsidR="00B47FDB">
        <w:trPr>
          <w:trHeight w:val="345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B47FDB" w:rsidRDefault="00B72BB2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2017г. - 912,34 руб./Гкал;</w:t>
            </w:r>
          </w:p>
        </w:tc>
      </w:tr>
      <w:tr w:rsidR="00B47FDB">
        <w:trPr>
          <w:trHeight w:val="345"/>
        </w:trPr>
        <w:tc>
          <w:tcPr>
            <w:tcW w:w="10870" w:type="dxa"/>
            <w:gridSpan w:val="18"/>
            <w:shd w:val="clear" w:color="FFFFFF" w:fill="auto"/>
            <w:vAlign w:val="bottom"/>
          </w:tcPr>
          <w:p w:rsidR="00B47FDB" w:rsidRDefault="00B72BB2">
            <w:r>
              <w:rPr>
                <w:rFonts w:ascii="Times New Roman" w:hAnsi="Times New Roman"/>
                <w:sz w:val="26"/>
                <w:szCs w:val="26"/>
              </w:rPr>
              <w:t>- на период с 1 июля по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31 декабря 2017г. - 939,35 руб./Гкал.</w:t>
            </w:r>
          </w:p>
        </w:tc>
      </w:tr>
    </w:tbl>
    <w:p w:rsidR="00680234" w:rsidRDefault="00680234"/>
    <w:sectPr w:rsidR="00680234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FDB"/>
    <w:rsid w:val="002B72CD"/>
    <w:rsid w:val="00680234"/>
    <w:rsid w:val="00A2282A"/>
    <w:rsid w:val="00A33513"/>
    <w:rsid w:val="00B47FDB"/>
    <w:rsid w:val="00B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5</cp:revision>
  <cp:lastPrinted>2016-12-07T11:32:00Z</cp:lastPrinted>
  <dcterms:created xsi:type="dcterms:W3CDTF">2016-12-07T11:30:00Z</dcterms:created>
  <dcterms:modified xsi:type="dcterms:W3CDTF">2016-12-15T10:02:00Z</dcterms:modified>
</cp:coreProperties>
</file>